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8" w:type="dxa"/>
        <w:tblInd w:w="-371" w:type="dxa"/>
        <w:tblLayout w:type="fixed"/>
        <w:tblCellMar>
          <w:top w:w="64" w:type="dxa"/>
          <w:left w:w="43" w:type="dxa"/>
          <w:bottom w:w="64" w:type="dxa"/>
          <w:right w:w="43" w:type="dxa"/>
        </w:tblCellMar>
        <w:tblLook w:val="04A0" w:firstRow="1" w:lastRow="0" w:firstColumn="1" w:lastColumn="0" w:noHBand="0" w:noVBand="1"/>
      </w:tblPr>
      <w:tblGrid>
        <w:gridCol w:w="1690"/>
        <w:gridCol w:w="3490"/>
        <w:gridCol w:w="4570"/>
        <w:gridCol w:w="2690"/>
        <w:gridCol w:w="2838"/>
      </w:tblGrid>
      <w:tr w:rsidR="000C741B" w14:paraId="2F45313F" w14:textId="77777777" w:rsidTr="000C741B">
        <w:trPr>
          <w:trHeight w:val="483"/>
        </w:trPr>
        <w:tc>
          <w:tcPr>
            <w:tcW w:w="15278" w:type="dxa"/>
            <w:gridSpan w:val="5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</w:tcPr>
          <w:p w14:paraId="2853BB4D" w14:textId="26411F90" w:rsidR="000C741B" w:rsidRDefault="000C741B">
            <w:pPr>
              <w:widowControl w:val="0"/>
              <w:spacing w:after="60"/>
              <w:rPr>
                <w:rFonts w:eastAsia="Calibri" w:cstheme="minorHAnsi"/>
                <w:b/>
                <w:bCs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b/>
                <w:color w:val="2F5496" w:themeColor="accent1" w:themeShade="BF"/>
                <w:lang w:eastAsia="ja-JP"/>
              </w:rPr>
              <w:t>MATEMATICA CL. 3</w:t>
            </w:r>
          </w:p>
        </w:tc>
      </w:tr>
      <w:tr w:rsidR="009A3B3B" w14:paraId="07C86EE3" w14:textId="77777777" w:rsidTr="000C741B">
        <w:trPr>
          <w:trHeight w:val="1204"/>
        </w:trPr>
        <w:tc>
          <w:tcPr>
            <w:tcW w:w="1690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</w:tcPr>
          <w:p w14:paraId="5230126E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b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b/>
                <w:color w:val="2F5496" w:themeColor="accent1" w:themeShade="BF"/>
                <w:lang w:eastAsia="ja-JP"/>
              </w:rPr>
              <w:t>NUCLEI TEMATICI</w:t>
            </w:r>
          </w:p>
        </w:tc>
        <w:tc>
          <w:tcPr>
            <w:tcW w:w="3490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</w:tcPr>
          <w:p w14:paraId="193FDFBA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b/>
                <w:color w:val="2F5496" w:themeColor="accent1" w:themeShade="BF"/>
                <w:lang w:eastAsia="ja-JP"/>
              </w:rPr>
              <w:t>TRAGUARDI DI SVILUPPO DELLE COMPETENZE AL TERMINE DELLA SCUOLA PRIMARIA (DALLE INDICAZIONI NAZIONALI PER IL CURRICOLO)</w:t>
            </w:r>
          </w:p>
        </w:tc>
        <w:tc>
          <w:tcPr>
            <w:tcW w:w="4570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</w:tcPr>
          <w:p w14:paraId="4276AD46" w14:textId="77777777" w:rsidR="009A3B3B" w:rsidRDefault="000C741B">
            <w:pPr>
              <w:widowControl w:val="0"/>
              <w:spacing w:after="60"/>
              <w:rPr>
                <w:rFonts w:cstheme="minorHAnsi"/>
                <w:b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b/>
                <w:color w:val="2F5496" w:themeColor="accent1" w:themeShade="BF"/>
                <w:lang w:eastAsia="ja-JP"/>
              </w:rPr>
              <w:t>OBIETTIVI DI APPRENDIMENTO CLASSE TERZA</w:t>
            </w:r>
          </w:p>
          <w:p w14:paraId="5DE233F0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b/>
                <w:color w:val="2F5496" w:themeColor="accent1" w:themeShade="BF"/>
                <w:lang w:eastAsia="ja-JP"/>
              </w:rPr>
              <w:t>DALLE INDICAZIONI NAZIONALI PER IL CURRICOLO)</w:t>
            </w:r>
          </w:p>
        </w:tc>
        <w:tc>
          <w:tcPr>
            <w:tcW w:w="2690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</w:tcPr>
          <w:p w14:paraId="49EF7267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b/>
                <w:color w:val="2F5496" w:themeColor="accent1" w:themeShade="BF"/>
                <w:lang w:eastAsia="ja-JP"/>
              </w:rPr>
              <w:t>CONTENUTI</w:t>
            </w:r>
          </w:p>
        </w:tc>
        <w:tc>
          <w:tcPr>
            <w:tcW w:w="2838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04A8B2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b/>
                <w:bCs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b/>
                <w:bCs/>
                <w:color w:val="2F5496" w:themeColor="accent1" w:themeShade="BF"/>
                <w:lang w:eastAsia="ja-JP"/>
              </w:rPr>
              <w:t>ATTIVITÀ</w:t>
            </w:r>
          </w:p>
        </w:tc>
      </w:tr>
      <w:tr w:rsidR="009A3B3B" w14:paraId="31FAC1FA" w14:textId="77777777" w:rsidTr="000C741B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2B31D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b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b/>
                <w:color w:val="2F5496" w:themeColor="accent1" w:themeShade="BF"/>
                <w:lang w:eastAsia="ja-JP"/>
              </w:rPr>
              <w:t>Numeri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E364C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Si 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muove con sicurezza nel calcolo scritto e mentale con i numeri naturali e sa valutare l’opportunità di ricorrere a una calcolatrice.</w:t>
            </w:r>
          </w:p>
          <w:p w14:paraId="4065B2E0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Riconosce e utilizza rappresentazioni diverse di oggetti matematici (numeri decimali, frazioni, percentuali, scale di riduz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ione…).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C569" w14:textId="550DEFAB" w:rsidR="009A3B3B" w:rsidRDefault="000C741B">
            <w:pPr>
              <w:widowControl w:val="0"/>
              <w:spacing w:after="60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 xml:space="preserve">Contare oggetti o eventi, </w:t>
            </w:r>
            <w:r>
              <w:rPr>
                <w:rFonts w:cstheme="minorHAnsi"/>
                <w:color w:val="2F5496" w:themeColor="accent1" w:themeShade="BF"/>
              </w:rPr>
              <w:t xml:space="preserve">a voce e mentalmente, </w:t>
            </w:r>
            <w:r>
              <w:rPr>
                <w:rFonts w:cstheme="minorHAnsi"/>
                <w:color w:val="2F5496" w:themeColor="accent1" w:themeShade="BF"/>
              </w:rPr>
              <w:t>in senso progressivo e fino a 1000.</w:t>
            </w:r>
          </w:p>
          <w:p w14:paraId="357B26FC" w14:textId="77777777" w:rsidR="009A3B3B" w:rsidRDefault="000C741B">
            <w:pPr>
              <w:widowControl w:val="0"/>
              <w:spacing w:after="60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Leggere e scrivere i numeri naturali in notazione decimale, avendo consapevolezza del valore   posizionale delle cifre.</w:t>
            </w:r>
          </w:p>
          <w:p w14:paraId="50936338" w14:textId="77777777" w:rsidR="009A3B3B" w:rsidRDefault="000C741B">
            <w:pPr>
              <w:widowControl w:val="0"/>
              <w:spacing w:after="60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 xml:space="preserve"> Eseguire mentalmente semplici operazioni co</w:t>
            </w:r>
            <w:r>
              <w:rPr>
                <w:rFonts w:cstheme="minorHAnsi"/>
                <w:color w:val="2F5496" w:themeColor="accent1" w:themeShade="BF"/>
              </w:rPr>
              <w:t>n i numeri naturali ,anche utilizzando opportunamente le proprietà delle operazioni e  verbalizzare le procedure di calcolo.</w:t>
            </w:r>
          </w:p>
          <w:p w14:paraId="415234BC" w14:textId="77777777" w:rsidR="009A3B3B" w:rsidRDefault="000C741B">
            <w:pPr>
              <w:widowControl w:val="0"/>
              <w:spacing w:after="60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 xml:space="preserve"> Conoscere con sicurezza le tabelline della moltiplicazione dei numeri fino a 10 e utilizzarle  per l’esecuzione di </w:t>
            </w:r>
            <w:r>
              <w:rPr>
                <w:rFonts w:cstheme="minorHAnsi"/>
                <w:color w:val="2F5496" w:themeColor="accent1" w:themeShade="BF"/>
              </w:rPr>
              <w:t>calcoli.</w:t>
            </w:r>
          </w:p>
          <w:p w14:paraId="09BDDE87" w14:textId="206024CE" w:rsidR="009A3B3B" w:rsidRDefault="000C741B">
            <w:pPr>
              <w:widowControl w:val="0"/>
              <w:spacing w:after="60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 xml:space="preserve"> Eseguire  in forma  scritta addizioni in colonna anche con più</w:t>
            </w:r>
            <w:r>
              <w:rPr>
                <w:rFonts w:cstheme="minorHAnsi"/>
                <w:color w:val="2F5496" w:themeColor="accent1" w:themeShade="BF"/>
              </w:rPr>
              <w:t xml:space="preserve"> riporti, sottrazioni in colonna anche con più</w:t>
            </w:r>
            <w:r>
              <w:rPr>
                <w:rFonts w:cstheme="minorHAnsi"/>
                <w:color w:val="2F5496" w:themeColor="accent1" w:themeShade="BF"/>
              </w:rPr>
              <w:t xml:space="preserve"> prestiti ,moltiplicazioni in colonna anche con più</w:t>
            </w:r>
            <w:r>
              <w:rPr>
                <w:rFonts w:cstheme="minorHAnsi"/>
                <w:color w:val="2F5496" w:themeColor="accent1" w:themeShade="BF"/>
              </w:rPr>
              <w:t xml:space="preserve"> riporti e moltiplicatore di 2 cifre, </w:t>
            </w:r>
            <w:r>
              <w:rPr>
                <w:rFonts w:cstheme="minorHAnsi"/>
                <w:color w:val="2F5496" w:themeColor="accent1" w:themeShade="BF"/>
              </w:rPr>
              <w:t>divisioni con una cifra con i numeri naturali.</w:t>
            </w:r>
          </w:p>
          <w:p w14:paraId="540E866E" w14:textId="77777777" w:rsidR="009A3B3B" w:rsidRDefault="000C741B">
            <w:pPr>
              <w:widowControl w:val="0"/>
              <w:spacing w:after="60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 xml:space="preserve"> Leggere, scrivere, confrontare numeri decimali, rappresentarli sulla retta ed eseguire semplici addizioni e sottrazioni, anche con riferimento alle monete o ai risultati di semplici misure.</w:t>
            </w:r>
          </w:p>
          <w:p w14:paraId="4C481C4D" w14:textId="77777777" w:rsidR="009A3B3B" w:rsidRDefault="000C741B">
            <w:pPr>
              <w:widowControl w:val="0"/>
              <w:spacing w:after="60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Acquisire il concetto di frazione e rappresentare frazioni.</w:t>
            </w:r>
          </w:p>
          <w:p w14:paraId="057296DC" w14:textId="77777777" w:rsidR="009A3B3B" w:rsidRDefault="000C741B">
            <w:pPr>
              <w:widowControl w:val="0"/>
              <w:spacing w:after="60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lastRenderedPageBreak/>
              <w:t>Opera</w:t>
            </w:r>
            <w:r>
              <w:rPr>
                <w:rFonts w:cstheme="minorHAnsi"/>
                <w:color w:val="2F5496" w:themeColor="accent1" w:themeShade="BF"/>
              </w:rPr>
              <w:t>re con le frazioni decimali.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22415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lastRenderedPageBreak/>
              <w:t>numeri fino a 1 000 e oltre</w:t>
            </w:r>
          </w:p>
          <w:p w14:paraId="0AFEE8EA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addizioni e sottrazioni e utilizzo delle loro proprietà.</w:t>
            </w:r>
          </w:p>
          <w:p w14:paraId="7BC77C31" w14:textId="11AA7DDA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addizioni e sottrazioni veloci, in colonna e con il cambio 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di moltiplicazioni e divisioni con utilizzo delle loro proprietà.</w:t>
            </w:r>
          </w:p>
          <w:p w14:paraId="2EF469D9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moltiplicazioni 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e divisioni a due cifre e con il resto.</w:t>
            </w:r>
          </w:p>
          <w:p w14:paraId="718D8205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moltiplicazioni e divisioni per 10, 100, 1 000.</w:t>
            </w:r>
          </w:p>
          <w:p w14:paraId="5CC1F200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numeri decimali.</w:t>
            </w:r>
          </w:p>
          <w:p w14:paraId="176DD154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frazioni e frazioni decimali.</w:t>
            </w:r>
          </w:p>
          <w:p w14:paraId="6B04497F" w14:textId="77777777" w:rsidR="009A3B3B" w:rsidRDefault="009A3B3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</w:p>
          <w:p w14:paraId="1E848001" w14:textId="77777777" w:rsidR="009A3B3B" w:rsidRDefault="009A3B3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</w:p>
          <w:p w14:paraId="5C2F6B5F" w14:textId="77777777" w:rsidR="009A3B3B" w:rsidRDefault="009A3B3B">
            <w:pPr>
              <w:widowControl w:val="0"/>
              <w:spacing w:after="60"/>
              <w:ind w:firstLine="708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370084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Utilizzo dei numeri fino a 1 000 e oltre.</w:t>
            </w:r>
          </w:p>
          <w:p w14:paraId="331B9C19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Esecuzione di addizioni e sottrazioni e utilizzo delle loro 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proprietà.</w:t>
            </w:r>
          </w:p>
          <w:p w14:paraId="4540443F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Attività su addizioni e sottrazioni veloci, in colonna e con il cambio.</w:t>
            </w:r>
          </w:p>
          <w:p w14:paraId="4D870492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Esecuzione di moltiplicazioni e divisioni con utilizzo delle loro proprietà.</w:t>
            </w:r>
          </w:p>
          <w:p w14:paraId="4FC72D27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Esecuzione di moltiplicazioni e divisioni a due cifre e con il resto.</w:t>
            </w:r>
          </w:p>
          <w:p w14:paraId="271C2263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Esecuzione di moltiplicazi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oni e divisioni per 10, 100, 1 000.</w:t>
            </w:r>
          </w:p>
          <w:p w14:paraId="7D5FF50C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Conoscenza e utilizzo dei numeri decimali.</w:t>
            </w:r>
          </w:p>
          <w:p w14:paraId="6548B954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Conoscenza delle frazioni e delle frazioni decimali.</w:t>
            </w:r>
          </w:p>
        </w:tc>
      </w:tr>
      <w:tr w:rsidR="009A3B3B" w14:paraId="5F338993" w14:textId="77777777" w:rsidTr="000C741B">
        <w:trPr>
          <w:trHeight w:val="4706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7453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b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b/>
                <w:color w:val="2F5496" w:themeColor="accent1" w:themeShade="BF"/>
                <w:lang w:eastAsia="ja-JP"/>
              </w:rPr>
              <w:t>Spazio e figure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B928E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Riconosce e rappresenta forme del piano e dello spazio, relazioni e strutture che si trovano in 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natura o che sono state create dall’uomo.</w:t>
            </w:r>
          </w:p>
          <w:p w14:paraId="1B223BE9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Descrive, denomina e classifica figure in base a caratteristiche geometriche, ne determina misure, progetta e costruisce modelli concreti di vario tipo.</w:t>
            </w:r>
          </w:p>
          <w:p w14:paraId="0B6129D2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Utilizza strumenti per il disegno geometrico (riga, compasso,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squadra) e i più comuni strumenti di misura (metro, goniometro...).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1E67" w14:textId="77777777" w:rsidR="009A3B3B" w:rsidRDefault="000C741B">
            <w:pPr>
              <w:widowControl w:val="0"/>
              <w:spacing w:after="60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Eseguire semplici percorsi partendo dalla descrizione verbale o dal disegno e utilizzare correttamente gli indicatori spaziali</w:t>
            </w:r>
          </w:p>
          <w:p w14:paraId="4C312956" w14:textId="2370ADBB" w:rsidR="009A3B3B" w:rsidRDefault="000C741B">
            <w:pPr>
              <w:widowControl w:val="0"/>
              <w:spacing w:after="60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 xml:space="preserve">Riconoscere e disegnare rette, </w:t>
            </w:r>
            <w:r>
              <w:rPr>
                <w:rFonts w:cstheme="minorHAnsi"/>
                <w:color w:val="2F5496" w:themeColor="accent1" w:themeShade="BF"/>
              </w:rPr>
              <w:t>semirette e segmenti.</w:t>
            </w:r>
          </w:p>
          <w:p w14:paraId="150BB2DE" w14:textId="34C5AFEF" w:rsidR="009A3B3B" w:rsidRDefault="000C741B">
            <w:pPr>
              <w:widowControl w:val="0"/>
              <w:spacing w:after="60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Acquisir</w:t>
            </w:r>
            <w:r>
              <w:rPr>
                <w:rFonts w:cstheme="minorHAnsi"/>
                <w:color w:val="2F5496" w:themeColor="accent1" w:themeShade="BF"/>
              </w:rPr>
              <w:t xml:space="preserve">e il concetto di angolo, </w:t>
            </w:r>
            <w:r>
              <w:rPr>
                <w:rFonts w:cstheme="minorHAnsi"/>
                <w:color w:val="2F5496" w:themeColor="accent1" w:themeShade="BF"/>
              </w:rPr>
              <w:t>riconoscere, denominare e descrivere i vari tipi di angoli.</w:t>
            </w:r>
          </w:p>
          <w:p w14:paraId="7CD9B454" w14:textId="77777777" w:rsidR="009A3B3B" w:rsidRDefault="000C741B">
            <w:pPr>
              <w:widowControl w:val="0"/>
              <w:spacing w:after="60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Acquisire il concetto di perpendicolarità.</w:t>
            </w:r>
          </w:p>
          <w:p w14:paraId="46E7F7DF" w14:textId="77777777" w:rsidR="009A3B3B" w:rsidRDefault="000C741B">
            <w:pPr>
              <w:widowControl w:val="0"/>
              <w:spacing w:after="60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Acquisire il concetto di poligono, riconoscere, denominare e descrivere triangoli e quadrilateri.</w:t>
            </w:r>
          </w:p>
          <w:p w14:paraId="4C1CFB81" w14:textId="77777777" w:rsidR="009A3B3B" w:rsidRDefault="000C741B">
            <w:pPr>
              <w:widowControl w:val="0"/>
              <w:spacing w:after="60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Conoscere e utilizzare le formu</w:t>
            </w:r>
            <w:r>
              <w:rPr>
                <w:rFonts w:cstheme="minorHAnsi"/>
                <w:color w:val="2F5496" w:themeColor="accent1" w:themeShade="BF"/>
              </w:rPr>
              <w:t>le per il calcolo del perimetro.</w:t>
            </w:r>
          </w:p>
          <w:p w14:paraId="0EE9675F" w14:textId="77777777" w:rsidR="009A3B3B" w:rsidRDefault="000C741B">
            <w:pPr>
              <w:widowControl w:val="0"/>
              <w:spacing w:after="60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Calcolare l’area utilizzando il quadretto come unità di misura</w:t>
            </w:r>
          </w:p>
          <w:p w14:paraId="2B2F6362" w14:textId="77777777" w:rsidR="009A3B3B" w:rsidRDefault="009A3B3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45F19" w14:textId="77777777" w:rsidR="009A3B3B" w:rsidRDefault="000C741B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percorsi.</w:t>
            </w:r>
          </w:p>
          <w:p w14:paraId="46C11A46" w14:textId="77777777" w:rsidR="009A3B3B" w:rsidRDefault="000C741B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 xml:space="preserve"> rette, semirette e segmenti.</w:t>
            </w:r>
          </w:p>
          <w:p w14:paraId="7919C140" w14:textId="77777777" w:rsidR="009A3B3B" w:rsidRDefault="000C741B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angoli: retto, ottuso, acuto, piatto e giro.</w:t>
            </w:r>
          </w:p>
          <w:p w14:paraId="6C179B93" w14:textId="77777777" w:rsidR="009A3B3B" w:rsidRDefault="000C741B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figure piane e solide.</w:t>
            </w:r>
          </w:p>
          <w:p w14:paraId="60B842D2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simmetria interna ed esterna di figure.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86C33" w14:textId="77777777" w:rsidR="009A3B3B" w:rsidRDefault="000C741B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Esecuzione di percorsi.</w:t>
            </w:r>
          </w:p>
          <w:p w14:paraId="4A8BA84F" w14:textId="77777777" w:rsidR="009A3B3B" w:rsidRDefault="000C741B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Attività di riconoscimento e descrizione di rette, semirette e segmenti.</w:t>
            </w:r>
          </w:p>
          <w:p w14:paraId="6AC4B8FC" w14:textId="77777777" w:rsidR="009A3B3B" w:rsidRDefault="000C741B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Attività di riconoscimento di angoli: retto, ottuso, acuto, piatto e giro.</w:t>
            </w:r>
          </w:p>
          <w:p w14:paraId="17F99708" w14:textId="77777777" w:rsidR="009A3B3B" w:rsidRDefault="000C741B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Attività di riconoscimento delle caratteristiche di figure piane e solide.</w:t>
            </w:r>
          </w:p>
          <w:p w14:paraId="5D23CE91" w14:textId="77777777" w:rsidR="009A3B3B" w:rsidRDefault="000C741B">
            <w:pPr>
              <w:widowControl w:val="0"/>
              <w:spacing w:after="6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Individuazione della simmetria interna ed esterna di figure.</w:t>
            </w:r>
          </w:p>
          <w:p w14:paraId="41B88783" w14:textId="77777777" w:rsidR="009A3B3B" w:rsidRDefault="009A3B3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</w:p>
        </w:tc>
      </w:tr>
      <w:tr w:rsidR="009A3B3B" w14:paraId="4795E44D" w14:textId="77777777" w:rsidTr="000C741B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B633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b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b/>
                <w:color w:val="2F5496" w:themeColor="accent1" w:themeShade="BF"/>
                <w:lang w:eastAsia="ja-JP"/>
              </w:rPr>
              <w:t>Relazioni, dati e previsioni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AEA7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Ricerca dati per ricavare informazioni e costruisce rappresentazioni</w:t>
            </w:r>
          </w:p>
          <w:p w14:paraId="7263F443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(tabelle e grafici).</w:t>
            </w:r>
          </w:p>
          <w:p w14:paraId="7F9EA5FF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Ricava informazioni anche da dati rappresentati in tabelle e 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grafici.</w:t>
            </w:r>
          </w:p>
          <w:p w14:paraId="04532AFD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Riconosce e quantifica, in casi semplici, situazioni di incertezza.</w:t>
            </w:r>
          </w:p>
          <w:p w14:paraId="05A4EF6D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Legge e comprende testi che coinvolgono aspetti logici e matematici.</w:t>
            </w:r>
          </w:p>
          <w:p w14:paraId="2381CEF7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 xml:space="preserve">Costruisce ragionamenti formulando ipotesi, sostenendo le proprie idee e </w:t>
            </w:r>
            <w:r>
              <w:rPr>
                <w:rFonts w:cstheme="minorHAnsi"/>
                <w:color w:val="2F5496" w:themeColor="accent1" w:themeShade="BF"/>
                <w:lang w:eastAsia="ja-JP"/>
              </w:rPr>
              <w:lastRenderedPageBreak/>
              <w:t xml:space="preserve">confrontandosi con il punto di vista </w:t>
            </w:r>
            <w:r>
              <w:rPr>
                <w:rFonts w:cstheme="minorHAnsi"/>
                <w:color w:val="2F5496" w:themeColor="accent1" w:themeShade="BF"/>
                <w:lang w:eastAsia="ja-JP"/>
              </w:rPr>
              <w:t>degli altri.</w:t>
            </w:r>
          </w:p>
          <w:p w14:paraId="45ED8D35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Riesce a risolvere facili problemi in tutti gli ambiti di contenuto, mantenendo il controllo sia sul processo risolutivo, sia sui risultati.</w:t>
            </w:r>
          </w:p>
          <w:p w14:paraId="454EFBED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Descrive il procedimento seguito e riconosce strategie di soluzione diverse dalla propria.</w:t>
            </w:r>
          </w:p>
          <w:p w14:paraId="02238C7E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Sviluppa un</w:t>
            </w:r>
            <w:r>
              <w:rPr>
                <w:rFonts w:cstheme="minorHAnsi"/>
                <w:color w:val="2F5496" w:themeColor="accent1" w:themeShade="BF"/>
                <w:lang w:eastAsia="ja-JP"/>
              </w:rPr>
              <w:t xml:space="preserve"> atteggiamento positivo rispetto alla matematica, attraverso esperienze significative che gli hanno fatto intuire come gli strumenti matematici che ha imparato a utilizzare siano utili per operare nella realtà.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165A3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lastRenderedPageBreak/>
              <w:t>Classificare numeri, figure, oggetti.</w:t>
            </w:r>
          </w:p>
          <w:p w14:paraId="0434E9F9" w14:textId="64698F8A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Toglier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e gli elementi che non sono presenti nelle attività proposte in base a uno o più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 xml:space="preserve"> proprietà</w:t>
            </w:r>
          </w:p>
          <w:p w14:paraId="7D00B212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Organizzare e rappresentare graficamente i dati raccolti nell’ambito di semplici indagini statistiche.</w:t>
            </w:r>
          </w:p>
          <w:p w14:paraId="1EBC5AB8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Leggere e rappresentare relazioni e dati con diagrammi, schem</w:t>
            </w: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i e tabelle.</w:t>
            </w:r>
          </w:p>
          <w:p w14:paraId="3AF11A30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eastAsia="Calibri" w:cstheme="minorHAnsi"/>
                <w:color w:val="2F5496" w:themeColor="accent1" w:themeShade="BF"/>
                <w:lang w:eastAsia="ja-JP"/>
              </w:rPr>
              <w:t>Conoscere e utilizzare unità di misura arbitrarie e convenzionali</w:t>
            </w:r>
          </w:p>
          <w:p w14:paraId="4E867901" w14:textId="77777777" w:rsidR="009A3B3B" w:rsidRDefault="009A3B3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</w:p>
          <w:p w14:paraId="17DD05D7" w14:textId="77777777" w:rsidR="009A3B3B" w:rsidRDefault="009A3B3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C0DB" w14:textId="77777777" w:rsidR="009A3B3B" w:rsidRDefault="000C741B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relazioni e classificazioni.</w:t>
            </w:r>
          </w:p>
          <w:p w14:paraId="4A344A6E" w14:textId="77777777" w:rsidR="009A3B3B" w:rsidRDefault="000C741B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grafici.</w:t>
            </w:r>
          </w:p>
          <w:p w14:paraId="531832A1" w14:textId="77777777" w:rsidR="009A3B3B" w:rsidRDefault="000C741B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 xml:space="preserve"> indagini statistiche.</w:t>
            </w:r>
          </w:p>
          <w:p w14:paraId="625B2E11" w14:textId="77777777" w:rsidR="009A3B3B" w:rsidRDefault="000C741B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misure di lunghezza, capacità, massa, valore e tempo.</w:t>
            </w:r>
          </w:p>
          <w:p w14:paraId="5F032B60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stima delle probabilità.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3DC9E" w14:textId="77777777" w:rsidR="009A3B3B" w:rsidRDefault="000C741B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Attività per il riconoscimento di r</w:t>
            </w:r>
            <w:r>
              <w:rPr>
                <w:rFonts w:cstheme="minorHAnsi"/>
                <w:color w:val="2F5496" w:themeColor="accent1" w:themeShade="BF"/>
                <w:lang w:eastAsia="ja-JP"/>
              </w:rPr>
              <w:t>elazioni e classificazioni.</w:t>
            </w:r>
          </w:p>
          <w:p w14:paraId="04534B9B" w14:textId="77777777" w:rsidR="009A3B3B" w:rsidRDefault="000C741B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Lettura e interpretazione di grafici.</w:t>
            </w:r>
          </w:p>
          <w:p w14:paraId="0A882140" w14:textId="77777777" w:rsidR="009A3B3B" w:rsidRDefault="000C741B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Effettuazione e rappresentazione di indagini statistiche.</w:t>
            </w:r>
          </w:p>
          <w:p w14:paraId="2370409C" w14:textId="77777777" w:rsidR="009A3B3B" w:rsidRDefault="000C741B">
            <w:pPr>
              <w:pStyle w:val="TableBody"/>
              <w:widowControl w:val="0"/>
              <w:rPr>
                <w:rFonts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>Attività per il riconoscimento e l’utilizzo delle misure di lunghezza, capacità, massa, valore e tempo.</w:t>
            </w:r>
          </w:p>
          <w:p w14:paraId="246B6888" w14:textId="77777777" w:rsidR="009A3B3B" w:rsidRDefault="000C741B">
            <w:pPr>
              <w:widowControl w:val="0"/>
              <w:spacing w:after="60"/>
              <w:rPr>
                <w:rFonts w:eastAsia="Calibri" w:cstheme="minorHAnsi"/>
                <w:color w:val="2F5496" w:themeColor="accent1" w:themeShade="BF"/>
                <w:lang w:eastAsia="ja-JP"/>
              </w:rPr>
            </w:pPr>
            <w:r>
              <w:rPr>
                <w:rFonts w:cstheme="minorHAnsi"/>
                <w:color w:val="2F5496" w:themeColor="accent1" w:themeShade="BF"/>
                <w:lang w:eastAsia="ja-JP"/>
              </w:rPr>
              <w:t xml:space="preserve">Attività sulla stima delle </w:t>
            </w:r>
            <w:r>
              <w:rPr>
                <w:rFonts w:cstheme="minorHAnsi"/>
                <w:color w:val="2F5496" w:themeColor="accent1" w:themeShade="BF"/>
                <w:lang w:eastAsia="ja-JP"/>
              </w:rPr>
              <w:lastRenderedPageBreak/>
              <w:t>p</w:t>
            </w:r>
            <w:r>
              <w:rPr>
                <w:rFonts w:cstheme="minorHAnsi"/>
                <w:color w:val="2F5496" w:themeColor="accent1" w:themeShade="BF"/>
                <w:lang w:eastAsia="ja-JP"/>
              </w:rPr>
              <w:t>robabilità.</w:t>
            </w:r>
          </w:p>
        </w:tc>
      </w:tr>
    </w:tbl>
    <w:p w14:paraId="5C642EF8" w14:textId="77777777" w:rsidR="009A3B3B" w:rsidRDefault="009A3B3B">
      <w:pPr>
        <w:rPr>
          <w:rFonts w:cstheme="minorHAnsi"/>
          <w:color w:val="2F5496" w:themeColor="accent1" w:themeShade="BF"/>
        </w:rPr>
      </w:pPr>
    </w:p>
    <w:p w14:paraId="0A6AC780" w14:textId="77777777" w:rsidR="009A3B3B" w:rsidRDefault="009A3B3B">
      <w:pPr>
        <w:rPr>
          <w:rFonts w:cstheme="minorHAnsi"/>
          <w:color w:val="2F5496" w:themeColor="accent1" w:themeShade="BF"/>
        </w:rPr>
      </w:pPr>
    </w:p>
    <w:sectPr w:rsidR="009A3B3B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3B"/>
    <w:rsid w:val="000C741B"/>
    <w:rsid w:val="009A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DABD"/>
  <w15:docId w15:val="{ECFEB013-0164-4D0E-B768-3496309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7FA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TableBody">
    <w:name w:val="Table Body"/>
    <w:basedOn w:val="Normale"/>
    <w:qFormat/>
    <w:rsid w:val="00557FA8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4833</Characters>
  <Application>Microsoft Office Word</Application>
  <DocSecurity>0</DocSecurity>
  <Lines>127</Lines>
  <Paragraphs>56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dc:description/>
  <cp:lastModifiedBy>Iole Currò</cp:lastModifiedBy>
  <cp:revision>2</cp:revision>
  <dcterms:created xsi:type="dcterms:W3CDTF">2021-10-27T18:01:00Z</dcterms:created>
  <dcterms:modified xsi:type="dcterms:W3CDTF">2021-10-27T18:01:00Z</dcterms:modified>
  <dc:language>it-IT</dc:language>
</cp:coreProperties>
</file>